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04B" w:rsidRPr="00F3704B" w:rsidRDefault="00F3704B" w:rsidP="00C30269">
      <w:pPr>
        <w:widowControl/>
        <w:shd w:val="clear" w:color="auto" w:fill="FFFFFF"/>
        <w:spacing w:before="100" w:beforeAutospacing="1" w:after="100" w:afterAutospacing="1" w:line="400" w:lineRule="exact"/>
        <w:jc w:val="center"/>
        <w:outlineLvl w:val="1"/>
        <w:rPr>
          <w:rFonts w:ascii="微软雅黑" w:eastAsia="微软雅黑" w:hAnsi="微软雅黑" w:cs="宋体"/>
          <w:b/>
          <w:bCs/>
          <w:color w:val="4B4B4B"/>
          <w:kern w:val="36"/>
          <w:sz w:val="30"/>
          <w:szCs w:val="30"/>
        </w:rPr>
      </w:pPr>
      <w:r w:rsidRPr="00F3704B">
        <w:rPr>
          <w:rFonts w:ascii="微软雅黑" w:eastAsia="微软雅黑" w:hAnsi="微软雅黑" w:cs="宋体" w:hint="eastAsia"/>
          <w:b/>
          <w:bCs/>
          <w:color w:val="4B4B4B"/>
          <w:kern w:val="36"/>
          <w:sz w:val="30"/>
          <w:szCs w:val="30"/>
        </w:rPr>
        <w:t>教育部办公厅关于实施一流本科专业建设</w:t>
      </w:r>
      <w:r w:rsidRPr="00F3704B">
        <w:rPr>
          <w:rFonts w:ascii="微软雅黑" w:eastAsia="微软雅黑" w:hAnsi="微软雅黑" w:cs="宋体" w:hint="eastAsia"/>
          <w:b/>
          <w:bCs/>
          <w:color w:val="4B4B4B"/>
          <w:kern w:val="36"/>
          <w:sz w:val="30"/>
          <w:szCs w:val="30"/>
        </w:rPr>
        <w:br/>
        <w:t>“双万计划”的通知</w:t>
      </w:r>
    </w:p>
    <w:p w:rsidR="00F3704B" w:rsidRPr="00F3704B" w:rsidRDefault="00F3704B" w:rsidP="00C30269">
      <w:pPr>
        <w:widowControl/>
        <w:shd w:val="clear" w:color="auto" w:fill="FFFFFF"/>
        <w:spacing w:before="100" w:beforeAutospacing="1" w:after="100" w:afterAutospacing="1" w:line="400" w:lineRule="exact"/>
        <w:jc w:val="center"/>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t>教高厅函〔2019〕18号</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t>各省、自治区、直辖市教育厅（教委），新疆生产建设兵团教育局，有关部门（单位）教育司（局），部属各高等学校、部省合建各高等学校：</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t xml:space="preserve">　　为深入落实全国教育大会和《加快推进教育现代化实施方案（2018—2022年）》精神，贯彻落实新时代全国高校本科教育工作会议和《教育部关于加快建设高水平本科教育 全面提高人才培养能力的意见》、“六卓越一拔尖”计划2.0系列文件要求，推动新工科、新医科、新农科、新文科建设，做强一流本科、建设一流专业、培养一流人才，全面振兴本科教育，提高高校人才培养能力，实现高等教育内涵式发展，经研究，教育部决定全面实施“六卓越一拔尖”计划2.0，启动一流本科专业建设“双万计划”,现将有关事项通知如下。</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b/>
          <w:bCs/>
          <w:color w:val="4B4B4B"/>
          <w:kern w:val="0"/>
          <w:sz w:val="24"/>
          <w:szCs w:val="24"/>
        </w:rPr>
        <w:t xml:space="preserve">　　一、主要任务 </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t xml:space="preserve">　　2019—2021年，建设10000个左右国家级一流本科专业点和10000个左右省级一流本科专业点。</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b/>
          <w:bCs/>
          <w:color w:val="4B4B4B"/>
          <w:kern w:val="0"/>
          <w:sz w:val="24"/>
          <w:szCs w:val="24"/>
        </w:rPr>
        <w:t xml:space="preserve">　　二、建设原则 </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t xml:space="preserve">　　面向各类高校。在不同类型的普通本科高校建设一流本科专业，鼓励分类发展、特色发展。</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t xml:space="preserve">　　面向全部专业。覆盖全部92个本科专业类，分年度开展一流本科专业点建设。</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t xml:space="preserve">　　突出示范领跑。建设新工科、新医科、新农科、新文科示范性本科专业，引领带动高校优化专业结构、促进专业建设质量提升，推动形成高水平人才培养体系。</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t xml:space="preserve">　　分“赛道”建设。中央部门所属高校、地方高校名额分列，向地方高校倾斜；鼓励支持高校在服务国家和区域经济社会发展中建设一流本科专业。</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t xml:space="preserve">　　“两步走”实施。报送的专业第一步被确定为国家级一流本科专业建设点；教育部组织开展专业认证，通过后再确定为国家级一流本科专业。</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b/>
          <w:bCs/>
          <w:color w:val="4B4B4B"/>
          <w:kern w:val="0"/>
          <w:sz w:val="24"/>
          <w:szCs w:val="24"/>
        </w:rPr>
        <w:lastRenderedPageBreak/>
        <w:t xml:space="preserve">　　三、建设方式 </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t xml:space="preserve">　　1.国家级一流本科专业建设工作分三年完成。每年3月启动，经高校网上报送、教育主管部门或高校提交汇总材料、高等学校教学指导委员会提出推荐意见等，确定建设点名单，当年10月公布结果。</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t xml:space="preserve">　　2.省级一流本科专业建设方案由各省级教育行政部门制订，按照建设总量不超过本行政区域内本科专业布点总数的20%，分三年统筹规划，报教育部备案后与国家级一流专业建设同步组织实施。每年9月底前，各省级教育行政部门将本年度省级一流本科专业建设点名单报教育部，当年10月与国家级一流本科专业建设点名单一并公布。</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t xml:space="preserve">　　3.入选省级一流本科专业建设点的专业，如同时入选国家级一流本科专业建设点，按照国家级一流本科专业建设点公布。空出的省级一流本科专业建设点名额可延至下一年度使用。</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t xml:space="preserve">　　4.根据2019、2020年一流本科专业点建设情况，2021年将对各专业类国家级一流本科专业的建设数量和建设进度进行统筹。</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b/>
          <w:bCs/>
          <w:color w:val="4B4B4B"/>
          <w:kern w:val="0"/>
          <w:sz w:val="24"/>
          <w:szCs w:val="24"/>
        </w:rPr>
        <w:t xml:space="preserve">　　四、报送条件 </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t xml:space="preserve">　　（一）报送高校需具备的条件</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t xml:space="preserve">　　1.全面落实“以本为本、四个回归”。坚持立德树人，切实巩固人才培养中心地位和本科教学基础地位，把思想政治教育贯穿人才培养全过程，着力深化教育教学改革，全面提升人才培养质量。</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t xml:space="preserve">　　2.积极推进新工科、新医科、新农科、新文科建设。紧扣国家发展需求，主动适应新一轮科技革命和产业变革，着力深化专业综合改革，优化专业结构，积极发展新兴专业，改造提升传统专业，打造特色优势专业。</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t xml:space="preserve">　　3.不断完善协同育人和实践教学机制。积极集聚优质教育资源，优化人才培养机制，着力推进与政府部门、企事业单位合作办学、合作育人、合作就业、合作发展，强化实践教学，不断提升人才培养的目标达成度和社会满意度。</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lastRenderedPageBreak/>
        <w:t xml:space="preserve">　　4.努力培育以人才培养为中心的质量文化。坚持学生中心、产出导向、持续改进的基本理念，建立健全自查自纠的质量保障机制并持续有效实施，将对质量的追求内化为全校师生的共同价值追求和行为自觉。</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t xml:space="preserve">　　（二）报送专业需具备的条件</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t xml:space="preserve">　　1.专业定位明确。服务面向清晰，适应国家和区域经济社会发展需要，符合学校发展定位和办学方向。</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t xml:space="preserve">　　2.专业管理规范。切实落实本科专业国家标准要求，人才培养方案科学合理，教育教学管理规范有序。近三年未出现重大安全责任事故。</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t xml:space="preserve">　　3.改革成效突出。持续深化教育教学改革，教育理念先进，教学内容更新及时，方法手段不断创新，以新理念、新形态、新方法引领带动新工科、新医科、新农科、新文科建设。</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t xml:space="preserve">　　4.师资力量雄厚。不断加强师资队伍和基层教学组织建设，教育教学研究活动广泛开展，专业教学团队结构合理、整体素质水平高。</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t xml:space="preserve">　　5.培养质量一流。坚持以学生为中心，促进学生全面发展，有效激发学生学习兴趣和潜能，增强创新精神、实践能力和社会责任感，毕业生行业认可度高、社会整体评价好。</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b/>
          <w:bCs/>
          <w:color w:val="4B4B4B"/>
          <w:kern w:val="0"/>
          <w:sz w:val="24"/>
          <w:szCs w:val="24"/>
        </w:rPr>
        <w:t xml:space="preserve">　　五、报送办法 </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t xml:space="preserve">　　国家级一流本科专业建设点以学校为单位组织报送。教育部直属高校直接报教育部，其他中央部门所属高校经主管部门同意后报教育部；地方高校由省级教育行政部门统一报教育部。各地各高校报送专业点数（比例）分年度下达。</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b/>
          <w:bCs/>
          <w:color w:val="4B4B4B"/>
          <w:kern w:val="0"/>
          <w:sz w:val="24"/>
          <w:szCs w:val="24"/>
        </w:rPr>
        <w:t xml:space="preserve">　　六、组织保障 </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t xml:space="preserve">　　（一）构建三级实施体系。教育部等14个“六卓越一拔尖”计划2.0负责部委（单位）统筹一流本科专业建设“双万计划”组织实施工作，指导各地、各高校落实有关文件要求，加强一流本科专业建设，推动构建国家、地方、高校三级实施体系。</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lastRenderedPageBreak/>
        <w:t xml:space="preserve">　　（二）完善经费保障。中央部门所属高校应当统筹利用中央高校教育教学改革专项等中央高校预算拨款和其他各类资源，各地应当统筹地方财政高等教育资金和中央支持地方高校改革发展资金，支持一流本科专业建设。</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t xml:space="preserve">　　（三）建立动态调整机制。教育部和省级教育行政部门加强对计划实施过程跟踪，针对一流本科专业建设中存在的问题，提出改进意见建议，对于建设质量不达标、出现严重质量问题的专业建设点予以撤销。</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b/>
          <w:bCs/>
          <w:color w:val="4B4B4B"/>
          <w:kern w:val="0"/>
          <w:sz w:val="24"/>
          <w:szCs w:val="24"/>
        </w:rPr>
        <w:t xml:space="preserve">　　七、关于2019年国家级一流本科专业建设点报送工作 </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t xml:space="preserve">　　1.报送数量。中央部门所属高校、部省合建高校2019年度报送的专业点数不超过本校本科专业布点数25%；各省级教育行政部门2019年度报送专业点数量不超过本地所属地方高校本科专业布点总数的15%。</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t xml:space="preserve">　　2.在线登录账号和密码。高校使用“高等教育质量监测国家数据平台”的登录账号及密码。各省级教育行政部门、中央有关部门（单位）教育司（局）须明确工作联系人，于2019年4月15日前将姓名、单位、座机、手机、电子邮件、传真号码报至教育部高等教育司文科处，获取报送系统登录账号及密码。</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t xml:space="preserve">　　3.在线报送时间和网址。在线报送时间为2019年4月20日—6月30日，请登录“国家级一流本科专业建设报送系统”（网址：http://udb.heec.edu.cn），按照系统提示填报。</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t xml:space="preserve">　　4.在线审核和提交。各省级教育行政部门、中央有关部门（单位）教育司（局）须在2019年6月30日前，登录报送系统，严格按照限额，完成所属高校报送信息的在线审核和提交工作。</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t xml:space="preserve">　　5.纸质材料报送。高校在线报送完成后，请导出《国家级一流本科专业建设点信息汇总表》，加盖本校公章。教育部直属高校、部省合建高校材料直接报教育部；中央部门所属高校材料加盖主管部门公章后报教育部；地方高校材料由省级教育行政部门加盖公章后统一报送教育部。请于2019年7月1日前（以邮戳时间为准），将材料寄北京市西城区西单大木仓胡同35号教育部高等教育司文科处，邮编：100816。</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t xml:space="preserve">　　联系人及电话：教育部高等教育司，朱蓓蓓、徐健，010-66097823；教育部高等教育教学评估中心，郭栋、南方，010-82213390、82213395。</w:t>
      </w:r>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lastRenderedPageBreak/>
        <w:t xml:space="preserve">　　附件：1.</w:t>
      </w:r>
      <w:hyperlink r:id="rId6" w:tgtFrame="_blank" w:history="1">
        <w:r w:rsidRPr="00F3704B">
          <w:rPr>
            <w:rFonts w:ascii="微软雅黑" w:eastAsia="微软雅黑" w:hAnsi="微软雅黑" w:cs="宋体" w:hint="eastAsia"/>
            <w:color w:val="0000FF"/>
            <w:kern w:val="0"/>
            <w:sz w:val="24"/>
            <w:szCs w:val="24"/>
          </w:rPr>
          <w:t>国家级一流本科专业分专业类建设规划</w:t>
        </w:r>
      </w:hyperlink>
      <w:bookmarkStart w:id="0" w:name="_GoBack"/>
      <w:bookmarkEnd w:id="0"/>
    </w:p>
    <w:p w:rsidR="00F3704B" w:rsidRPr="00F3704B" w:rsidRDefault="00F3704B" w:rsidP="00C30269">
      <w:pPr>
        <w:widowControl/>
        <w:shd w:val="clear" w:color="auto" w:fill="FFFFFF"/>
        <w:spacing w:before="100" w:beforeAutospacing="1" w:after="100" w:afterAutospacing="1" w:line="400" w:lineRule="exac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t xml:space="preserve">　　　　　2.</w:t>
      </w:r>
      <w:hyperlink r:id="rId7" w:tgtFrame="_blank" w:history="1">
        <w:r w:rsidRPr="00F3704B">
          <w:rPr>
            <w:rFonts w:ascii="微软雅黑" w:eastAsia="微软雅黑" w:hAnsi="微软雅黑" w:cs="宋体" w:hint="eastAsia"/>
            <w:color w:val="0000FF"/>
            <w:kern w:val="0"/>
            <w:sz w:val="24"/>
            <w:szCs w:val="24"/>
          </w:rPr>
          <w:t>国家级一流本科专业建设点信息采集表</w:t>
        </w:r>
      </w:hyperlink>
    </w:p>
    <w:p w:rsidR="00F3704B" w:rsidRPr="00F3704B" w:rsidRDefault="00F3704B" w:rsidP="0059677D">
      <w:pPr>
        <w:widowControl/>
        <w:shd w:val="clear" w:color="auto" w:fill="FFFFFF"/>
        <w:spacing w:before="100" w:beforeAutospacing="1" w:after="100" w:afterAutospacing="1" w:line="400" w:lineRule="exact"/>
        <w:jc w:val="righ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t>教育部办公厅</w:t>
      </w:r>
    </w:p>
    <w:p w:rsidR="00F3704B" w:rsidRPr="00F3704B" w:rsidRDefault="00F3704B" w:rsidP="0059677D">
      <w:pPr>
        <w:widowControl/>
        <w:shd w:val="clear" w:color="auto" w:fill="FFFFFF"/>
        <w:spacing w:before="100" w:beforeAutospacing="1" w:after="100" w:afterAutospacing="1" w:line="400" w:lineRule="exact"/>
        <w:jc w:val="right"/>
        <w:rPr>
          <w:rFonts w:ascii="微软雅黑" w:eastAsia="微软雅黑" w:hAnsi="微软雅黑" w:cs="宋体" w:hint="eastAsia"/>
          <w:color w:val="4B4B4B"/>
          <w:kern w:val="0"/>
          <w:sz w:val="24"/>
          <w:szCs w:val="24"/>
        </w:rPr>
      </w:pPr>
      <w:r w:rsidRPr="00F3704B">
        <w:rPr>
          <w:rFonts w:ascii="微软雅黑" w:eastAsia="微软雅黑" w:hAnsi="微软雅黑" w:cs="宋体" w:hint="eastAsia"/>
          <w:color w:val="4B4B4B"/>
          <w:kern w:val="0"/>
          <w:sz w:val="24"/>
          <w:szCs w:val="24"/>
        </w:rPr>
        <w:t>2019年4月2日</w:t>
      </w:r>
    </w:p>
    <w:p w:rsidR="00BE2E9A" w:rsidRDefault="00BE2E9A" w:rsidP="00C30269">
      <w:pPr>
        <w:spacing w:line="400" w:lineRule="exact"/>
      </w:pPr>
    </w:p>
    <w:sectPr w:rsidR="00BE2E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C71" w:rsidRDefault="00093C71" w:rsidP="00F3704B">
      <w:r>
        <w:separator/>
      </w:r>
    </w:p>
  </w:endnote>
  <w:endnote w:type="continuationSeparator" w:id="0">
    <w:p w:rsidR="00093C71" w:rsidRDefault="00093C71" w:rsidP="00F37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C71" w:rsidRDefault="00093C71" w:rsidP="00F3704B">
      <w:r>
        <w:separator/>
      </w:r>
    </w:p>
  </w:footnote>
  <w:footnote w:type="continuationSeparator" w:id="0">
    <w:p w:rsidR="00093C71" w:rsidRDefault="00093C71" w:rsidP="00F370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B61"/>
    <w:rsid w:val="00093C71"/>
    <w:rsid w:val="0059677D"/>
    <w:rsid w:val="00BE2E9A"/>
    <w:rsid w:val="00C30269"/>
    <w:rsid w:val="00CD2B61"/>
    <w:rsid w:val="00F37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1AF0B1-9865-4828-A575-69DFB01C1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70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3704B"/>
    <w:rPr>
      <w:sz w:val="18"/>
      <w:szCs w:val="18"/>
    </w:rPr>
  </w:style>
  <w:style w:type="paragraph" w:styleId="a4">
    <w:name w:val="footer"/>
    <w:basedOn w:val="a"/>
    <w:link w:val="Char0"/>
    <w:uiPriority w:val="99"/>
    <w:unhideWhenUsed/>
    <w:rsid w:val="00F3704B"/>
    <w:pPr>
      <w:tabs>
        <w:tab w:val="center" w:pos="4153"/>
        <w:tab w:val="right" w:pos="8306"/>
      </w:tabs>
      <w:snapToGrid w:val="0"/>
      <w:jc w:val="left"/>
    </w:pPr>
    <w:rPr>
      <w:sz w:val="18"/>
      <w:szCs w:val="18"/>
    </w:rPr>
  </w:style>
  <w:style w:type="character" w:customStyle="1" w:styleId="Char0">
    <w:name w:val="页脚 Char"/>
    <w:basedOn w:val="a0"/>
    <w:link w:val="a4"/>
    <w:uiPriority w:val="99"/>
    <w:rsid w:val="00F3704B"/>
    <w:rPr>
      <w:sz w:val="18"/>
      <w:szCs w:val="18"/>
    </w:rPr>
  </w:style>
  <w:style w:type="character" w:styleId="a5">
    <w:name w:val="Strong"/>
    <w:basedOn w:val="a0"/>
    <w:uiPriority w:val="22"/>
    <w:qFormat/>
    <w:rsid w:val="00F370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042788">
      <w:bodyDiv w:val="1"/>
      <w:marLeft w:val="0"/>
      <w:marRight w:val="0"/>
      <w:marTop w:val="0"/>
      <w:marBottom w:val="0"/>
      <w:divBdr>
        <w:top w:val="none" w:sz="0" w:space="0" w:color="auto"/>
        <w:left w:val="none" w:sz="0" w:space="0" w:color="auto"/>
        <w:bottom w:val="none" w:sz="0" w:space="0" w:color="auto"/>
        <w:right w:val="none" w:sz="0" w:space="0" w:color="auto"/>
      </w:divBdr>
      <w:divsChild>
        <w:div w:id="14549554">
          <w:marLeft w:val="0"/>
          <w:marRight w:val="0"/>
          <w:marTop w:val="0"/>
          <w:marBottom w:val="0"/>
          <w:divBdr>
            <w:top w:val="none" w:sz="0" w:space="0" w:color="auto"/>
            <w:left w:val="none" w:sz="0" w:space="0" w:color="auto"/>
            <w:bottom w:val="none" w:sz="0" w:space="0" w:color="auto"/>
            <w:right w:val="none" w:sz="0" w:space="0" w:color="auto"/>
          </w:divBdr>
          <w:divsChild>
            <w:div w:id="274366203">
              <w:marLeft w:val="0"/>
              <w:marRight w:val="0"/>
              <w:marTop w:val="0"/>
              <w:marBottom w:val="0"/>
              <w:divBdr>
                <w:top w:val="none" w:sz="0" w:space="0" w:color="auto"/>
                <w:left w:val="none" w:sz="0" w:space="0" w:color="auto"/>
                <w:bottom w:val="none" w:sz="0" w:space="0" w:color="auto"/>
                <w:right w:val="none" w:sz="0" w:space="0" w:color="auto"/>
              </w:divBdr>
              <w:divsChild>
                <w:div w:id="2084137405">
                  <w:marLeft w:val="0"/>
                  <w:marRight w:val="0"/>
                  <w:marTop w:val="0"/>
                  <w:marBottom w:val="0"/>
                  <w:divBdr>
                    <w:top w:val="single" w:sz="6" w:space="31" w:color="BCBCBC"/>
                    <w:left w:val="single" w:sz="6" w:space="31" w:color="BCBCBC"/>
                    <w:bottom w:val="single" w:sz="6" w:space="15" w:color="BCBCBC"/>
                    <w:right w:val="single" w:sz="6" w:space="31" w:color="BCBCBC"/>
                  </w:divBdr>
                  <w:divsChild>
                    <w:div w:id="949436670">
                      <w:marLeft w:val="0"/>
                      <w:marRight w:val="0"/>
                      <w:marTop w:val="0"/>
                      <w:marBottom w:val="0"/>
                      <w:divBdr>
                        <w:top w:val="none" w:sz="0" w:space="0" w:color="auto"/>
                        <w:left w:val="none" w:sz="0" w:space="0" w:color="auto"/>
                        <w:bottom w:val="none" w:sz="0" w:space="0" w:color="auto"/>
                        <w:right w:val="none" w:sz="0" w:space="0" w:color="auto"/>
                      </w:divBdr>
                      <w:divsChild>
                        <w:div w:id="100682976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oe.gov.cn/srcsite/A08/s7056/201904/W020190409566973965302.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rcsite/A08/s7056/201904/W020190409566973958144.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493</Words>
  <Characters>2816</Characters>
  <Application>Microsoft Office Word</Application>
  <DocSecurity>0</DocSecurity>
  <Lines>23</Lines>
  <Paragraphs>6</Paragraphs>
  <ScaleCrop>false</ScaleCrop>
  <Company>Microsoft</Company>
  <LinksUpToDate>false</LinksUpToDate>
  <CharactersWithSpaces>3303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2019-04-18T06:04:00Z</dcterms:created>
  <dcterms:modified xsi:type="dcterms:W3CDTF">2019-04-18T06:09:00Z</dcterms:modified>
</cp:coreProperties>
</file>